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25FB" w:rsidRDefault="006366EA">
      <w:pPr>
        <w:pStyle w:val="Standard"/>
        <w:jc w:val="both"/>
        <w:rPr>
          <w:i/>
        </w:rPr>
      </w:pPr>
      <w:bookmarkStart w:id="0" w:name="_GoBack"/>
      <w:bookmarkEnd w:id="0"/>
      <w:r>
        <w:rPr>
          <w:i/>
        </w:rPr>
        <w:t>Province de Liège</w:t>
      </w:r>
    </w:p>
    <w:p w:rsidR="001625FB" w:rsidRDefault="006366EA">
      <w:pPr>
        <w:pStyle w:val="Standard"/>
        <w:jc w:val="both"/>
        <w:rPr>
          <w:i/>
        </w:rPr>
      </w:pPr>
      <w:r>
        <w:rPr>
          <w:i/>
        </w:rPr>
        <w:t>Arrondissement de Verviers</w:t>
      </w:r>
    </w:p>
    <w:p w:rsidR="001625FB" w:rsidRDefault="006366EA">
      <w:pPr>
        <w:pStyle w:val="Standard"/>
        <w:jc w:val="both"/>
        <w:rPr>
          <w:i/>
        </w:rPr>
      </w:pPr>
      <w:r>
        <w:rPr>
          <w:i/>
        </w:rPr>
        <w:t>Commune d’</w:t>
      </w:r>
      <w:proofErr w:type="spellStart"/>
      <w:r>
        <w:rPr>
          <w:i/>
        </w:rPr>
        <w:t>Olne</w:t>
      </w:r>
      <w:proofErr w:type="spellEnd"/>
    </w:p>
    <w:tbl>
      <w:tblPr>
        <w:tblW w:w="9104" w:type="dxa"/>
        <w:tblInd w:w="1" w:type="dxa"/>
        <w:tblLayout w:type="fixed"/>
        <w:tblCellMar>
          <w:left w:w="10" w:type="dxa"/>
          <w:right w:w="10" w:type="dxa"/>
        </w:tblCellMar>
        <w:tblLook w:val="04A0" w:firstRow="1" w:lastRow="0" w:firstColumn="1" w:lastColumn="0" w:noHBand="0" w:noVBand="1"/>
      </w:tblPr>
      <w:tblGrid>
        <w:gridCol w:w="3828"/>
        <w:gridCol w:w="5276"/>
      </w:tblGrid>
      <w:tr w:rsidR="001625FB">
        <w:tblPrEx>
          <w:tblCellMar>
            <w:top w:w="0" w:type="dxa"/>
            <w:bottom w:w="0" w:type="dxa"/>
          </w:tblCellMar>
        </w:tblPrEx>
        <w:tc>
          <w:tcPr>
            <w:tcW w:w="3828" w:type="dxa"/>
            <w:vMerge w:val="restart"/>
            <w:tcMar>
              <w:top w:w="0" w:type="dxa"/>
              <w:left w:w="0" w:type="dxa"/>
              <w:bottom w:w="0" w:type="dxa"/>
              <w:right w:w="0" w:type="dxa"/>
            </w:tcMar>
          </w:tcPr>
          <w:p w:rsidR="001625FB" w:rsidRDefault="006366EA">
            <w:pPr>
              <w:pStyle w:val="Standard"/>
              <w:ind w:left="-113"/>
            </w:pPr>
            <w:r>
              <w:rPr>
                <w:noProof/>
                <w:lang w:eastAsia="fr-BE" w:bidi="ar-SA"/>
              </w:rPr>
              <w:drawing>
                <wp:inline distT="0" distB="0" distL="0" distR="0">
                  <wp:extent cx="1314358" cy="972372"/>
                  <wp:effectExtent l="0" t="0" r="92" b="0"/>
                  <wp:docPr id="2"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14358" cy="972372"/>
                          </a:xfrm>
                          <a:prstGeom prst="rect">
                            <a:avLst/>
                          </a:prstGeom>
                          <a:noFill/>
                          <a:ln>
                            <a:noFill/>
                            <a:prstDash/>
                          </a:ln>
                        </pic:spPr>
                      </pic:pic>
                    </a:graphicData>
                  </a:graphic>
                </wp:inline>
              </w:drawing>
            </w:r>
          </w:p>
          <w:p w:rsidR="001625FB" w:rsidRDefault="001625FB">
            <w:pPr>
              <w:pStyle w:val="Standard"/>
            </w:pPr>
          </w:p>
          <w:tbl>
            <w:tblPr>
              <w:tblW w:w="3828" w:type="dxa"/>
              <w:tblLayout w:type="fixed"/>
              <w:tblCellMar>
                <w:left w:w="10" w:type="dxa"/>
                <w:right w:w="10" w:type="dxa"/>
              </w:tblCellMar>
              <w:tblLook w:val="04A0" w:firstRow="1" w:lastRow="0" w:firstColumn="1" w:lastColumn="0" w:noHBand="0" w:noVBand="1"/>
            </w:tblPr>
            <w:tblGrid>
              <w:gridCol w:w="3828"/>
            </w:tblGrid>
            <w:tr w:rsidR="001625FB">
              <w:tblPrEx>
                <w:tblCellMar>
                  <w:top w:w="0" w:type="dxa"/>
                  <w:bottom w:w="0" w:type="dxa"/>
                </w:tblCellMar>
              </w:tblPrEx>
              <w:tc>
                <w:tcPr>
                  <w:tcW w:w="3828" w:type="dxa"/>
                  <w:tcBorders>
                    <w:left w:val="single" w:sz="36" w:space="0" w:color="CCCC00"/>
                  </w:tcBorders>
                  <w:tcMar>
                    <w:top w:w="0" w:type="dxa"/>
                    <w:left w:w="108" w:type="dxa"/>
                    <w:bottom w:w="0" w:type="dxa"/>
                    <w:right w:w="108" w:type="dxa"/>
                  </w:tcMar>
                </w:tcPr>
                <w:p w:rsidR="001625FB" w:rsidRDefault="006366EA">
                  <w:pPr>
                    <w:pStyle w:val="Standard"/>
                    <w:rPr>
                      <w:i/>
                      <w:iCs/>
                      <w:sz w:val="20"/>
                      <w:szCs w:val="20"/>
                    </w:rPr>
                  </w:pPr>
                  <w:r>
                    <w:rPr>
                      <w:i/>
                      <w:iCs/>
                      <w:sz w:val="20"/>
                      <w:szCs w:val="20"/>
                    </w:rPr>
                    <w:t>Rue Village, 37 - 4877 OLNE</w:t>
                  </w:r>
                </w:p>
                <w:p w:rsidR="001625FB" w:rsidRDefault="006366EA">
                  <w:pPr>
                    <w:pStyle w:val="Standard"/>
                    <w:tabs>
                      <w:tab w:val="left" w:pos="6379"/>
                    </w:tabs>
                    <w:rPr>
                      <w:i/>
                      <w:iCs/>
                      <w:sz w:val="20"/>
                      <w:szCs w:val="20"/>
                    </w:rPr>
                  </w:pPr>
                  <w:r>
                    <w:rPr>
                      <w:i/>
                      <w:iCs/>
                      <w:sz w:val="20"/>
                      <w:szCs w:val="20"/>
                    </w:rPr>
                    <w:t>Tél. : 087/26.02.72 - Fax : 087/26.02.73</w:t>
                  </w:r>
                </w:p>
                <w:p w:rsidR="001625FB" w:rsidRDefault="006366EA">
                  <w:pPr>
                    <w:pStyle w:val="Standard"/>
                    <w:rPr>
                      <w:i/>
                      <w:iCs/>
                      <w:sz w:val="20"/>
                      <w:szCs w:val="20"/>
                    </w:rPr>
                  </w:pPr>
                  <w:r>
                    <w:rPr>
                      <w:i/>
                      <w:iCs/>
                      <w:sz w:val="20"/>
                      <w:szCs w:val="20"/>
                    </w:rPr>
                    <w:t>Compte financier : BE07 0910 0044 0266</w:t>
                  </w:r>
                </w:p>
                <w:p w:rsidR="001625FB" w:rsidRDefault="006366EA">
                  <w:pPr>
                    <w:pStyle w:val="Standard"/>
                    <w:tabs>
                      <w:tab w:val="left" w:pos="2820"/>
                    </w:tabs>
                    <w:spacing w:after="120"/>
                    <w:rPr>
                      <w:i/>
                      <w:iCs/>
                      <w:sz w:val="20"/>
                      <w:szCs w:val="20"/>
                    </w:rPr>
                  </w:pPr>
                  <w:r>
                    <w:rPr>
                      <w:i/>
                      <w:iCs/>
                      <w:sz w:val="20"/>
                      <w:szCs w:val="20"/>
                    </w:rPr>
                    <w:t xml:space="preserve">N° </w:t>
                  </w:r>
                  <w:r>
                    <w:rPr>
                      <w:i/>
                      <w:iCs/>
                      <w:sz w:val="20"/>
                      <w:szCs w:val="20"/>
                    </w:rPr>
                    <w:t>d’entreprise : 0207372736</w:t>
                  </w:r>
                </w:p>
                <w:p w:rsidR="001625FB" w:rsidRDefault="006366EA">
                  <w:pPr>
                    <w:pStyle w:val="Standard"/>
                    <w:rPr>
                      <w:sz w:val="20"/>
                      <w:szCs w:val="20"/>
                    </w:rPr>
                  </w:pPr>
                  <w:r>
                    <w:rPr>
                      <w:sz w:val="20"/>
                      <w:szCs w:val="20"/>
                    </w:rPr>
                    <w:t>Votre correspondant </w:t>
                  </w:r>
                  <w:proofErr w:type="gramStart"/>
                  <w:r>
                    <w:rPr>
                      <w:sz w:val="20"/>
                      <w:szCs w:val="20"/>
                    </w:rPr>
                    <w:t>:JP</w:t>
                  </w:r>
                  <w:proofErr w:type="gramEnd"/>
                  <w:r>
                    <w:rPr>
                      <w:sz w:val="20"/>
                      <w:szCs w:val="20"/>
                    </w:rPr>
                    <w:t xml:space="preserve"> EMBRECHTS</w:t>
                  </w:r>
                </w:p>
                <w:p w:rsidR="001625FB" w:rsidRDefault="001625FB">
                  <w:pPr>
                    <w:pStyle w:val="Standard"/>
                  </w:pPr>
                </w:p>
              </w:tc>
            </w:tr>
          </w:tbl>
          <w:p w:rsidR="001625FB" w:rsidRDefault="001625FB">
            <w:pPr>
              <w:pStyle w:val="Standard"/>
            </w:pPr>
          </w:p>
        </w:tc>
        <w:tc>
          <w:tcPr>
            <w:tcW w:w="5276" w:type="dxa"/>
            <w:tcMar>
              <w:top w:w="0" w:type="dxa"/>
              <w:left w:w="0" w:type="dxa"/>
              <w:bottom w:w="0" w:type="dxa"/>
              <w:right w:w="0" w:type="dxa"/>
            </w:tcMar>
          </w:tcPr>
          <w:p w:rsidR="001625FB" w:rsidRDefault="006366EA">
            <w:pPr>
              <w:pStyle w:val="Standard"/>
              <w:rPr>
                <w:sz w:val="20"/>
                <w:szCs w:val="20"/>
              </w:rPr>
            </w:pPr>
            <w:r>
              <w:rPr>
                <w:sz w:val="20"/>
                <w:szCs w:val="20"/>
              </w:rPr>
              <w:t>Extrait du registre aux délibérations du Collège communal du 06 juin 2019</w:t>
            </w:r>
          </w:p>
          <w:p w:rsidR="001625FB" w:rsidRDefault="001625FB">
            <w:pPr>
              <w:pStyle w:val="Standard"/>
              <w:ind w:right="64"/>
              <w:rPr>
                <w:sz w:val="20"/>
                <w:szCs w:val="20"/>
              </w:rPr>
            </w:pPr>
          </w:p>
        </w:tc>
      </w:tr>
      <w:tr w:rsidR="001625FB">
        <w:tblPrEx>
          <w:tblCellMar>
            <w:top w:w="0" w:type="dxa"/>
            <w:bottom w:w="0" w:type="dxa"/>
          </w:tblCellMar>
        </w:tblPrEx>
        <w:trPr>
          <w:trHeight w:val="1241"/>
        </w:trPr>
        <w:tc>
          <w:tcPr>
            <w:tcW w:w="3828" w:type="dxa"/>
            <w:vMerge/>
            <w:tcMar>
              <w:top w:w="0" w:type="dxa"/>
              <w:left w:w="0" w:type="dxa"/>
              <w:bottom w:w="0" w:type="dxa"/>
              <w:right w:w="0" w:type="dxa"/>
            </w:tcMar>
          </w:tcPr>
          <w:p w:rsidR="00000000" w:rsidRDefault="006366EA"/>
        </w:tc>
        <w:tc>
          <w:tcPr>
            <w:tcW w:w="5276" w:type="dxa"/>
            <w:tcMar>
              <w:top w:w="0" w:type="dxa"/>
              <w:left w:w="0" w:type="dxa"/>
              <w:bottom w:w="0" w:type="dxa"/>
              <w:right w:w="0" w:type="dxa"/>
            </w:tcMar>
          </w:tcPr>
          <w:p w:rsidR="001625FB" w:rsidRDefault="001625FB">
            <w:pPr>
              <w:pStyle w:val="Standard"/>
              <w:rPr>
                <w:sz w:val="20"/>
                <w:szCs w:val="20"/>
              </w:rPr>
            </w:pPr>
          </w:p>
          <w:p w:rsidR="001625FB" w:rsidRDefault="001625FB">
            <w:pPr>
              <w:pStyle w:val="Standard"/>
              <w:rPr>
                <w:sz w:val="20"/>
                <w:szCs w:val="20"/>
              </w:rPr>
            </w:pPr>
          </w:p>
          <w:p w:rsidR="001625FB" w:rsidRDefault="006366EA">
            <w:pPr>
              <w:pStyle w:val="Standard"/>
              <w:rPr>
                <w:sz w:val="20"/>
                <w:szCs w:val="20"/>
              </w:rPr>
            </w:pPr>
            <w:r>
              <w:rPr>
                <w:sz w:val="20"/>
                <w:szCs w:val="20"/>
              </w:rPr>
              <w:t>Présents :</w:t>
            </w:r>
          </w:p>
          <w:p w:rsidR="001625FB" w:rsidRDefault="006366EA">
            <w:pPr>
              <w:pStyle w:val="Standard"/>
            </w:pPr>
            <w:r>
              <w:t>M. HALIN, Bourgmestre-Président </w:t>
            </w:r>
            <w:proofErr w:type="gramStart"/>
            <w:r>
              <w:t>;</w:t>
            </w:r>
            <w:proofErr w:type="gramEnd"/>
            <w:r>
              <w:br/>
            </w:r>
            <w:r>
              <w:t>Mme DARIMONT, M. BAGUETTE, Mme DONNEAU, Echevins ;</w:t>
            </w:r>
            <w:r>
              <w:br/>
            </w:r>
            <w:r>
              <w:t xml:space="preserve">Mme BARBASON, </w:t>
            </w:r>
            <w:r>
              <w:t>Présidente du CPAS ;</w:t>
            </w:r>
            <w:r>
              <w:br/>
            </w:r>
            <w:r>
              <w:t>M.EMBRECHTS, Directeur général.</w:t>
            </w:r>
          </w:p>
        </w:tc>
      </w:tr>
    </w:tbl>
    <w:p w:rsidR="001625FB" w:rsidRDefault="001625FB">
      <w:pPr>
        <w:pStyle w:val="Standard"/>
      </w:pPr>
    </w:p>
    <w:p w:rsidR="001625FB" w:rsidRDefault="006366EA">
      <w:pPr>
        <w:pStyle w:val="Standard"/>
        <w:jc w:val="both"/>
      </w:pPr>
      <w:r>
        <w:rPr>
          <w:b/>
          <w:u w:val="single"/>
        </w:rPr>
        <w:t>Objet :</w:t>
      </w:r>
      <w:r>
        <w:rPr>
          <w:b/>
        </w:rPr>
        <w:t xml:space="preserve"> Ordonnance de police arrêtant les mesures temporaires de circulation lors de l’organisation des festivités d’</w:t>
      </w:r>
      <w:proofErr w:type="spellStart"/>
      <w:r>
        <w:rPr>
          <w:b/>
        </w:rPr>
        <w:t>Olne</w:t>
      </w:r>
      <w:proofErr w:type="spellEnd"/>
      <w:r>
        <w:rPr>
          <w:b/>
        </w:rPr>
        <w:t xml:space="preserve"> Autrefois</w:t>
      </w:r>
    </w:p>
    <w:p w:rsidR="001625FB" w:rsidRDefault="001625FB">
      <w:pPr>
        <w:pStyle w:val="Standard"/>
      </w:pPr>
    </w:p>
    <w:p w:rsidR="001625FB" w:rsidRDefault="006366EA">
      <w:pPr>
        <w:pStyle w:val="Standard"/>
      </w:pPr>
      <w:r>
        <w:t>Le Collège communal,</w:t>
      </w:r>
    </w:p>
    <w:p w:rsidR="001625FB" w:rsidRDefault="006366EA">
      <w:pPr>
        <w:pStyle w:val="Standard"/>
      </w:pPr>
      <w:r>
        <w:t>Vu la demande de Monsieur Bruno VANDERHEYDEN, représentant le comité « </w:t>
      </w:r>
      <w:proofErr w:type="spellStart"/>
      <w:r>
        <w:t>Olne</w:t>
      </w:r>
      <w:proofErr w:type="spellEnd"/>
      <w:r>
        <w:t>-Autrefois », relative aux mesures</w:t>
      </w:r>
      <w:r>
        <w:t xml:space="preserve"> de sécurité lors de l’organisation des festivités prévues les 29 et 30 juin 2019;</w:t>
      </w:r>
    </w:p>
    <w:p w:rsidR="001625FB" w:rsidRDefault="006366EA">
      <w:pPr>
        <w:pStyle w:val="Standard"/>
      </w:pPr>
      <w:r>
        <w:t>Vu la loi relative à la police de la circulation routière et les lois coordonnées;</w:t>
      </w:r>
    </w:p>
    <w:p w:rsidR="001625FB" w:rsidRDefault="006366EA">
      <w:pPr>
        <w:pStyle w:val="Standard"/>
      </w:pPr>
      <w:r>
        <w:t>Vu la Nouvelle Loi Communale, notamment l’article 130bis;</w:t>
      </w:r>
    </w:p>
    <w:p w:rsidR="001625FB" w:rsidRDefault="006366EA">
      <w:pPr>
        <w:pStyle w:val="Standard"/>
      </w:pPr>
      <w:r>
        <w:t>Vu l’arrêté ministériel fixant l</w:t>
      </w:r>
      <w:r>
        <w:t>es dimensions minimales et conditions particulières de placement de la signalisation routière;</w:t>
      </w:r>
    </w:p>
    <w:p w:rsidR="001625FB" w:rsidRDefault="006366EA">
      <w:pPr>
        <w:pStyle w:val="Standard"/>
      </w:pPr>
      <w:r>
        <w:t>Vu le règlement général sur la police de la circulation routière;</w:t>
      </w:r>
    </w:p>
    <w:p w:rsidR="001625FB" w:rsidRDefault="006366EA">
      <w:pPr>
        <w:pStyle w:val="Standard"/>
      </w:pPr>
      <w:r>
        <w:t xml:space="preserve">Considérant qu'une réunion de coordination s'est tenue le 25 avril 2019 en présence de la zone </w:t>
      </w:r>
      <w:r>
        <w:t>de police, de la zone de secours, des autorités communales, du fonctionnaire PLANU et des organisateurs,</w:t>
      </w:r>
    </w:p>
    <w:p w:rsidR="001625FB" w:rsidRDefault="006366EA">
      <w:pPr>
        <w:pStyle w:val="Standard"/>
      </w:pPr>
      <w:r>
        <w:t>Considérant que la participation à cette manifestation est très importante et que cette organisation requiert la vigilance des services de police;</w:t>
      </w:r>
    </w:p>
    <w:p w:rsidR="001625FB" w:rsidRDefault="006366EA">
      <w:pPr>
        <w:pStyle w:val="Standard"/>
      </w:pPr>
      <w:r>
        <w:t>Cons</w:t>
      </w:r>
      <w:r>
        <w:t>idérant que ces mesures visent à autoriser l’organisateur à occuper le domaine public à savoir rue du Presbytère, rue des Combattants, rue Village, ruelle de l’</w:t>
      </w:r>
      <w:proofErr w:type="spellStart"/>
      <w:r>
        <w:t>Avrô</w:t>
      </w:r>
      <w:proofErr w:type="spellEnd"/>
      <w:r>
        <w:t>, ruelle du Vieux Mayeur, Ruelle du Ri de Rode et ruelle du chantoir et à  permettre d’utili</w:t>
      </w:r>
      <w:r>
        <w:t>ser ces lieux à des fins auxquelles il n’est pas destiné;</w:t>
      </w:r>
    </w:p>
    <w:p w:rsidR="001625FB" w:rsidRDefault="006366EA">
      <w:pPr>
        <w:pStyle w:val="Standard"/>
      </w:pPr>
      <w:r>
        <w:t>Considérant qu’il y a lieu de permettre aux organisateurs de proposer un droit d’entrée aux spectateurs;</w:t>
      </w:r>
    </w:p>
    <w:p w:rsidR="001625FB" w:rsidRDefault="006366EA">
      <w:pPr>
        <w:pStyle w:val="Standard"/>
      </w:pPr>
      <w:r>
        <w:t>Considérant qu’il importe de prendre les mesures nécessaires pour éviter les accidents et ass</w:t>
      </w:r>
      <w:r>
        <w:t>urer la sécurité des participants à cette manifestation;</w:t>
      </w:r>
    </w:p>
    <w:p w:rsidR="00000000" w:rsidRDefault="006366EA">
      <w:pPr>
        <w:rPr>
          <w:rFonts w:cs="Mangal"/>
          <w:szCs w:val="21"/>
        </w:rPr>
        <w:sectPr w:rsidR="00000000">
          <w:pgSz w:w="11906" w:h="16838"/>
          <w:pgMar w:top="709" w:right="1417" w:bottom="709" w:left="1417" w:header="720" w:footer="720" w:gutter="0"/>
          <w:cols w:space="720"/>
        </w:sectPr>
      </w:pPr>
    </w:p>
    <w:p w:rsidR="001625FB" w:rsidRDefault="001625FB">
      <w:pPr>
        <w:pStyle w:val="Standard"/>
      </w:pPr>
    </w:p>
    <w:p w:rsidR="00000000" w:rsidRDefault="006366EA">
      <w:pPr>
        <w:rPr>
          <w:rFonts w:cs="Mangal"/>
          <w:szCs w:val="21"/>
        </w:rPr>
        <w:sectPr w:rsidR="00000000">
          <w:type w:val="continuous"/>
          <w:pgSz w:w="11906" w:h="16838"/>
          <w:pgMar w:top="709" w:right="1417" w:bottom="709" w:left="1417" w:header="720" w:footer="720" w:gutter="0"/>
          <w:cols w:space="0"/>
        </w:sectPr>
      </w:pPr>
    </w:p>
    <w:p w:rsidR="001625FB" w:rsidRDefault="006366EA">
      <w:pPr>
        <w:pStyle w:val="Standard"/>
      </w:pPr>
      <w:r>
        <w:lastRenderedPageBreak/>
        <w:t> </w:t>
      </w:r>
    </w:p>
    <w:p w:rsidR="001625FB" w:rsidRDefault="006366EA">
      <w:pPr>
        <w:pStyle w:val="Standard"/>
      </w:pPr>
      <w:r>
        <w:t>Après en avoir délibéré,</w:t>
      </w:r>
    </w:p>
    <w:p w:rsidR="001625FB" w:rsidRDefault="006366EA">
      <w:pPr>
        <w:pStyle w:val="Standard"/>
      </w:pPr>
      <w:r>
        <w:t>A l'unanimité,</w:t>
      </w:r>
    </w:p>
    <w:p w:rsidR="001625FB" w:rsidRDefault="006366EA">
      <w:pPr>
        <w:pStyle w:val="Standard"/>
      </w:pPr>
      <w:r>
        <w:t>ARRÊTE</w:t>
      </w:r>
    </w:p>
    <w:p w:rsidR="001625FB" w:rsidRDefault="006366EA">
      <w:pPr>
        <w:pStyle w:val="Standard"/>
      </w:pPr>
      <w:r>
        <w:t> </w:t>
      </w:r>
    </w:p>
    <w:p w:rsidR="001625FB" w:rsidRDefault="006366EA">
      <w:pPr>
        <w:pStyle w:val="Standard"/>
      </w:pPr>
      <w:r>
        <w:rPr>
          <w:rStyle w:val="CS1"/>
        </w:rPr>
        <w:t>Article 1er</w:t>
      </w:r>
      <w:r>
        <w:t xml:space="preserve"> : Du vendredi 28 juin 2019 à partir de 9 heures au lundi 1er juillet 2019 à 18 heures, le stationnement de toutes espèces de véhicules est interdit :</w:t>
      </w:r>
    </w:p>
    <w:p w:rsidR="001625FB" w:rsidRDefault="006366EA">
      <w:pPr>
        <w:pStyle w:val="Standard"/>
      </w:pPr>
      <w:r>
        <w:t>- rue Village du carrefour avec la rue des Combattants jusqu'au carrefour avec la rue Bouteille, à l'exce</w:t>
      </w:r>
      <w:r>
        <w:t>ption de deux emplacements devant les numéros 95 à 99 réservés pour la police (matérialisés à l'aide de deux barrières Nadar).</w:t>
      </w:r>
    </w:p>
    <w:p w:rsidR="001625FB" w:rsidRDefault="006366EA">
      <w:pPr>
        <w:pStyle w:val="Standard"/>
      </w:pPr>
      <w:r>
        <w:t>- rue du Presbytère et rue des Combattants, de chaque côté de la chaussée.</w:t>
      </w:r>
    </w:p>
    <w:p w:rsidR="001625FB" w:rsidRDefault="006366EA">
      <w:pPr>
        <w:pStyle w:val="Standard"/>
      </w:pPr>
      <w:r>
        <w:t>Cette interdiction sera matérialisée par des signaux E</w:t>
      </w:r>
      <w:r>
        <w:t>1 +</w:t>
      </w:r>
      <w:proofErr w:type="spellStart"/>
      <w:r>
        <w:t>Xa</w:t>
      </w:r>
      <w:proofErr w:type="spellEnd"/>
      <w:r>
        <w:t xml:space="preserve"> et </w:t>
      </w:r>
      <w:proofErr w:type="spellStart"/>
      <w:r>
        <w:t>Xb</w:t>
      </w:r>
      <w:proofErr w:type="spellEnd"/>
      <w:r>
        <w:t>.</w:t>
      </w:r>
    </w:p>
    <w:p w:rsidR="001625FB" w:rsidRDefault="006366EA">
      <w:pPr>
        <w:pStyle w:val="Standard"/>
      </w:pPr>
      <w:r>
        <w:t xml:space="preserve">Deux emplacements pour des véhicules de Police seront réservés en bas du parking de La </w:t>
      </w:r>
      <w:proofErr w:type="spellStart"/>
      <w:r>
        <w:t>Falise</w:t>
      </w:r>
      <w:proofErr w:type="spellEnd"/>
      <w:r>
        <w:t>.</w:t>
      </w:r>
    </w:p>
    <w:p w:rsidR="001625FB" w:rsidRDefault="006366EA">
      <w:pPr>
        <w:pStyle w:val="Standard"/>
      </w:pPr>
      <w:r>
        <w:t> </w:t>
      </w:r>
    </w:p>
    <w:p w:rsidR="001625FB" w:rsidRDefault="006366EA">
      <w:pPr>
        <w:pStyle w:val="Standard"/>
      </w:pPr>
      <w:r>
        <w:rPr>
          <w:rStyle w:val="CS1"/>
        </w:rPr>
        <w:t>Art 2</w:t>
      </w:r>
      <w:r>
        <w:t>:</w:t>
      </w:r>
      <w:proofErr w:type="gramStart"/>
      <w:r>
        <w:t>  La</w:t>
      </w:r>
      <w:proofErr w:type="gramEnd"/>
      <w:r>
        <w:t xml:space="preserve"> fermeture complète des rues Village, Presbytère et des Combattants, excepté circulation locale, se fera du vendredi 28 juin 2019 à 9 he</w:t>
      </w:r>
      <w:r>
        <w:t>ures jusqu'au lundi 1er juillet 2019 à 18 heures selon les mesures suivantes :</w:t>
      </w:r>
    </w:p>
    <w:p w:rsidR="001625FB" w:rsidRDefault="006366EA">
      <w:pPr>
        <w:pStyle w:val="Standard"/>
      </w:pPr>
      <w:r>
        <w:t xml:space="preserve">- La RN 604 sera fermée dans le sens Soumagne – </w:t>
      </w:r>
      <w:proofErr w:type="spellStart"/>
      <w:r>
        <w:t>Olne</w:t>
      </w:r>
      <w:proofErr w:type="spellEnd"/>
      <w:r>
        <w:t xml:space="preserve"> au niveau du carrefour avec la rue </w:t>
      </w:r>
      <w:proofErr w:type="spellStart"/>
      <w:r>
        <w:t>Rafhay</w:t>
      </w:r>
      <w:proofErr w:type="spellEnd"/>
      <w:r>
        <w:t>. A cet endroit, pose du signal C3 + excepté parking + « DEVIATION toutes direction</w:t>
      </w:r>
      <w:r>
        <w:t xml:space="preserve">s » vers Saint </w:t>
      </w:r>
      <w:proofErr w:type="spellStart"/>
      <w:r>
        <w:t>Hadelin</w:t>
      </w:r>
      <w:proofErr w:type="spellEnd"/>
      <w:r>
        <w:t xml:space="preserve"> + « P  OLNE AUTREFOIS »+ F45</w:t>
      </w:r>
    </w:p>
    <w:p w:rsidR="001625FB" w:rsidRDefault="006366EA">
      <w:pPr>
        <w:pStyle w:val="Standard"/>
      </w:pPr>
      <w:r>
        <w:t>- Un panneau indicateur annonçant les déviations et l’accès au parking sera élaboré et placé à cet endroit par l’organisateur.</w:t>
      </w:r>
    </w:p>
    <w:p w:rsidR="001625FB" w:rsidRDefault="006366EA">
      <w:pPr>
        <w:pStyle w:val="Standard"/>
      </w:pPr>
      <w:r>
        <w:t>- L’arrêt et le stationnement de toutes espèces de véhicules sont interdits s</w:t>
      </w:r>
      <w:r>
        <w:t>ur la RN 604 (Chaussée divisée en bandes de circulation).</w:t>
      </w:r>
    </w:p>
    <w:p w:rsidR="001625FB" w:rsidRDefault="006366EA">
      <w:pPr>
        <w:pStyle w:val="Standard"/>
      </w:pPr>
      <w:r>
        <w:lastRenderedPageBreak/>
        <w:t xml:space="preserve">Des signaux E3 </w:t>
      </w:r>
      <w:proofErr w:type="gramStart"/>
      <w:r>
        <w:t>+(</w:t>
      </w:r>
      <w:proofErr w:type="spellStart"/>
      <w:proofErr w:type="gramEnd"/>
      <w:r>
        <w:t>Xa</w:t>
      </w:r>
      <w:proofErr w:type="spellEnd"/>
      <w:r>
        <w:t xml:space="preserve"> - </w:t>
      </w:r>
      <w:proofErr w:type="spellStart"/>
      <w:r>
        <w:t>Xb</w:t>
      </w:r>
      <w:proofErr w:type="spellEnd"/>
      <w:r>
        <w:t>) matérialiseront cette interdiction.</w:t>
      </w:r>
    </w:p>
    <w:p w:rsidR="001625FB" w:rsidRDefault="006366EA">
      <w:pPr>
        <w:pStyle w:val="Standard"/>
      </w:pPr>
      <w:r>
        <w:t xml:space="preserve">- Sur la RN 604, en direction du village, au-delà de l’entrée du parking (BAAR) prévu Route de Château 7, placement d’une barrière avec </w:t>
      </w:r>
      <w:r>
        <w:t>panneau C3 + circulation locale. A la sortie de ce parking, un signal D1 obligera les usagers à se diriger vers Soumagne.</w:t>
      </w:r>
    </w:p>
    <w:p w:rsidR="001625FB" w:rsidRDefault="006366EA">
      <w:pPr>
        <w:pStyle w:val="Standard"/>
      </w:pPr>
      <w:r>
        <w:t>- Sur la RN 604, à l’entrée du village soit au-delà du carrefour formé avec la rue Bouteille, placement d’une barrière avec signal C3.</w:t>
      </w:r>
    </w:p>
    <w:p w:rsidR="001625FB" w:rsidRDefault="006366EA">
      <w:pPr>
        <w:pStyle w:val="Standard"/>
      </w:pPr>
      <w:r>
        <w:t xml:space="preserve">- Au pied de la rue Bouteille, un signal C31a interdira aux usagers venant de </w:t>
      </w:r>
      <w:proofErr w:type="spellStart"/>
      <w:r>
        <w:t>Xhendelesse</w:t>
      </w:r>
      <w:proofErr w:type="spellEnd"/>
      <w:r>
        <w:t xml:space="preserve"> par la rue Bouteille, de tourner à gauche vers le village.</w:t>
      </w:r>
    </w:p>
    <w:p w:rsidR="001625FB" w:rsidRDefault="006366EA">
      <w:pPr>
        <w:pStyle w:val="Standard"/>
      </w:pPr>
      <w:r>
        <w:t>- Voie de l’Octroi, à l’approche de la RN 604, interdiction pour les usagers en transit de tourner à gauch</w:t>
      </w:r>
      <w:r>
        <w:t>e en direction du village, matérialisée par le signal C31a.</w:t>
      </w:r>
    </w:p>
    <w:p w:rsidR="001625FB" w:rsidRDefault="006366EA">
      <w:pPr>
        <w:pStyle w:val="Standard"/>
      </w:pPr>
      <w:r>
        <w:t xml:space="preserve">- Rue </w:t>
      </w:r>
      <w:proofErr w:type="spellStart"/>
      <w:r>
        <w:t>Rafhay</w:t>
      </w:r>
      <w:proofErr w:type="spellEnd"/>
      <w:r>
        <w:t>, à l’approche de la RN 604, interdiction pour les usagers en transit de tourner à droite en direction du village, matérialisée par le signal C31b.</w:t>
      </w:r>
    </w:p>
    <w:p w:rsidR="001625FB" w:rsidRDefault="006366EA">
      <w:pPr>
        <w:pStyle w:val="Standard"/>
      </w:pPr>
      <w:r>
        <w:t xml:space="preserve">- La circulation Sèche Haie, venant </w:t>
      </w:r>
      <w:r>
        <w:t>de la Voie de l’Octroi, sera interdite, sauf desserte locale. Pose du signal C3 + « excepté circulation locale » au carrefour avec la Voie de l’Octroi.</w:t>
      </w:r>
    </w:p>
    <w:p w:rsidR="001625FB" w:rsidRDefault="006366EA">
      <w:pPr>
        <w:pStyle w:val="Standard"/>
      </w:pPr>
      <w:r>
        <w:t>- Voie de l’Octroi, de part et d’autre du carrefour avec Sèche Haie, pose des signaux C31 a et b pour an</w:t>
      </w:r>
      <w:r>
        <w:t>noncer l’interdiction d’accès vers Sèche Haie.</w:t>
      </w:r>
    </w:p>
    <w:p w:rsidR="001625FB" w:rsidRDefault="006366EA">
      <w:pPr>
        <w:pStyle w:val="Standard"/>
      </w:pPr>
      <w:r>
        <w:t xml:space="preserve">- Du côté « haut » du village, l’accès aux festivités se fera, soit via la RN 604 au départ du parking BAAR, soit via la rue Bouteille où les véhicules seront orientés vers le parking situé Chemin de la Croix </w:t>
      </w:r>
      <w:r>
        <w:t>(parking GOB). A cette fin, une barrière sera posée à hauteur du terrain de football rue Bouteille, pour orienter les visiteurs à gauche, et ainsi emprunter « Au Grand Champ » jusqu’à l’entrée du parking GOB.</w:t>
      </w:r>
    </w:p>
    <w:p w:rsidR="001625FB" w:rsidRDefault="006366EA">
      <w:pPr>
        <w:pStyle w:val="Standard"/>
      </w:pPr>
      <w:r>
        <w:t>- Les utilisateurs du parking de la nouvelle éc</w:t>
      </w:r>
      <w:r>
        <w:t>ole devront quitter celui-ci en tournant à gauche vers la RN 604 et ensuite remonter cette rue en direction de Soumagne. A cette fin, pose d’un signal D1 à la sortie du parking de la nouvelle école, obligeant les véhicules à se diriger vers le carrefour fo</w:t>
      </w:r>
      <w:r>
        <w:t>rmé par la rue Bouteille et la RN 604.</w:t>
      </w:r>
    </w:p>
    <w:p w:rsidR="001625FB" w:rsidRDefault="006366EA">
      <w:pPr>
        <w:pStyle w:val="Standard"/>
      </w:pPr>
      <w:r>
        <w:t xml:space="preserve">- Le stationnement sera interdit rue Bouteille à droite dans le sens </w:t>
      </w:r>
      <w:proofErr w:type="spellStart"/>
      <w:r>
        <w:t>Xhendelesse</w:t>
      </w:r>
      <w:proofErr w:type="spellEnd"/>
      <w:r>
        <w:t>-village, sauf emplacements prévus.</w:t>
      </w:r>
    </w:p>
    <w:p w:rsidR="001625FB" w:rsidRDefault="006366EA">
      <w:pPr>
        <w:pStyle w:val="Standard"/>
      </w:pPr>
      <w:r>
        <w:t>- Grand Champ, côté Rue Bouteille, un signal F19 sera placé rendant le sens unique en direction du ch</w:t>
      </w:r>
      <w:r>
        <w:t>emin de la Croix (parking GOB). Un signal C1 placé Grand Champ, côté Chemin de la Croix (antenne Base), interdira la circulation vers la rue Bouteille, via le long du terrain de football.</w:t>
      </w:r>
    </w:p>
    <w:p w:rsidR="001625FB" w:rsidRDefault="006366EA">
      <w:pPr>
        <w:pStyle w:val="Standard"/>
      </w:pPr>
      <w:r>
        <w:t>- Le Chemin de la Croix sera interdit à la circulation (excepté circ</w:t>
      </w:r>
      <w:r>
        <w:t>ulation locale). Pose du signal C3 + « excepté circulation locale ».</w:t>
      </w:r>
    </w:p>
    <w:p w:rsidR="001625FB" w:rsidRDefault="006366EA">
      <w:pPr>
        <w:pStyle w:val="Standard"/>
      </w:pPr>
      <w:r>
        <w:t xml:space="preserve">- A la sortie du parking </w:t>
      </w:r>
      <w:proofErr w:type="spellStart"/>
      <w:r>
        <w:t>Gob</w:t>
      </w:r>
      <w:proofErr w:type="spellEnd"/>
      <w:r>
        <w:t xml:space="preserve">, un signal D1 obligera les véhicules à se diriger vers </w:t>
      </w:r>
      <w:proofErr w:type="spellStart"/>
      <w:r>
        <w:t>Froidbermont</w:t>
      </w:r>
      <w:proofErr w:type="spellEnd"/>
      <w:r>
        <w:t xml:space="preserve">, où un panneau indicateur annoncera les directions «Liège-Verviers » et « Soumagne-E40 », </w:t>
      </w:r>
      <w:r>
        <w:t xml:space="preserve">panneau créé par l’organisateur et répété au carrefour </w:t>
      </w:r>
      <w:proofErr w:type="spellStart"/>
      <w:r>
        <w:t>Froidbermont</w:t>
      </w:r>
      <w:proofErr w:type="spellEnd"/>
      <w:r>
        <w:t xml:space="preserve">- Route de </w:t>
      </w:r>
      <w:proofErr w:type="spellStart"/>
      <w:r>
        <w:t>Soiron</w:t>
      </w:r>
      <w:proofErr w:type="spellEnd"/>
      <w:r>
        <w:t>.</w:t>
      </w:r>
    </w:p>
    <w:p w:rsidR="001625FB" w:rsidRDefault="006366EA">
      <w:pPr>
        <w:pStyle w:val="Standard"/>
      </w:pPr>
      <w:r>
        <w:t xml:space="preserve">- Dans le prolongement des Grands champs, chemin des </w:t>
      </w:r>
      <w:proofErr w:type="spellStart"/>
      <w:r>
        <w:t>Golets</w:t>
      </w:r>
      <w:proofErr w:type="spellEnd"/>
      <w:r>
        <w:t xml:space="preserve"> sera mis en sens unique vers </w:t>
      </w:r>
      <w:proofErr w:type="spellStart"/>
      <w:r>
        <w:t>Froidbermont</w:t>
      </w:r>
      <w:proofErr w:type="spellEnd"/>
      <w:r>
        <w:t>.</w:t>
      </w:r>
    </w:p>
    <w:p w:rsidR="001625FB" w:rsidRDefault="006366EA">
      <w:pPr>
        <w:pStyle w:val="Standard"/>
      </w:pPr>
      <w:r>
        <w:t xml:space="preserve">- Rue </w:t>
      </w:r>
      <w:proofErr w:type="spellStart"/>
      <w:r>
        <w:t>Froidbermont</w:t>
      </w:r>
      <w:proofErr w:type="spellEnd"/>
      <w:r>
        <w:t>, l’arrêt et le stationnement seront interdits su</w:t>
      </w:r>
      <w:r>
        <w:t xml:space="preserve">r la chaussée, de part et d’autre, en dehors des endroits prévus entre le Chemin des </w:t>
      </w:r>
      <w:proofErr w:type="spellStart"/>
      <w:r>
        <w:t>Golets</w:t>
      </w:r>
      <w:proofErr w:type="spellEnd"/>
      <w:r>
        <w:t xml:space="preserve"> et le Chemin de la Croix. La circulation sur ce tronçon sera interdite, sauf circulation locale. A cet effet, un signal C3 + additionnel « excepté circulation local</w:t>
      </w:r>
      <w:r>
        <w:t xml:space="preserve">e » +F45 sera posé rue </w:t>
      </w:r>
      <w:proofErr w:type="spellStart"/>
      <w:r>
        <w:t>Froibermont</w:t>
      </w:r>
      <w:proofErr w:type="spellEnd"/>
      <w:r>
        <w:t xml:space="preserve">, au-delà du carrefour avec le Chemin des </w:t>
      </w:r>
      <w:proofErr w:type="spellStart"/>
      <w:r>
        <w:t>Golets</w:t>
      </w:r>
      <w:proofErr w:type="spellEnd"/>
      <w:r>
        <w:t>.</w:t>
      </w:r>
    </w:p>
    <w:p w:rsidR="001625FB" w:rsidRDefault="006366EA">
      <w:pPr>
        <w:pStyle w:val="Standard"/>
      </w:pPr>
      <w:r>
        <w:t xml:space="preserve">- Le chemin des </w:t>
      </w:r>
      <w:proofErr w:type="spellStart"/>
      <w:r>
        <w:t>Golets</w:t>
      </w:r>
      <w:proofErr w:type="spellEnd"/>
      <w:r>
        <w:t xml:space="preserve"> sera interdit, dans sa partie entre </w:t>
      </w:r>
      <w:proofErr w:type="spellStart"/>
      <w:r>
        <w:t>Froidbermont</w:t>
      </w:r>
      <w:proofErr w:type="spellEnd"/>
      <w:r>
        <w:t xml:space="preserve"> et la ferme </w:t>
      </w:r>
      <w:proofErr w:type="spellStart"/>
      <w:r>
        <w:t>Gob</w:t>
      </w:r>
      <w:proofErr w:type="spellEnd"/>
      <w:r>
        <w:t>, à la circulation sauf desserte locale. Pose du signal C3 + additionnel « excepté ci</w:t>
      </w:r>
      <w:r>
        <w:t xml:space="preserve">rculation locale ». Des signaux C31 a et b seront posés rue </w:t>
      </w:r>
      <w:proofErr w:type="spellStart"/>
      <w:r>
        <w:t>Froibermont</w:t>
      </w:r>
      <w:proofErr w:type="spellEnd"/>
      <w:r>
        <w:t xml:space="preserve"> pour annoncer cette interdiction.</w:t>
      </w:r>
    </w:p>
    <w:p w:rsidR="001625FB" w:rsidRDefault="006366EA">
      <w:pPr>
        <w:pStyle w:val="Standard"/>
      </w:pPr>
      <w:r>
        <w:t xml:space="preserve">- Rue </w:t>
      </w:r>
      <w:proofErr w:type="spellStart"/>
      <w:r>
        <w:t>Froidbermont</w:t>
      </w:r>
      <w:proofErr w:type="spellEnd"/>
      <w:r>
        <w:t xml:space="preserve">, au carrefour formé avec la Route de </w:t>
      </w:r>
      <w:proofErr w:type="spellStart"/>
      <w:r>
        <w:t>Soiron</w:t>
      </w:r>
      <w:proofErr w:type="spellEnd"/>
      <w:r>
        <w:t xml:space="preserve">, une barrière sera posée avec signal C3 + « excepté circulation locale » et F45 (voie </w:t>
      </w:r>
      <w:r>
        <w:t>sans issue en direction du village)</w:t>
      </w:r>
    </w:p>
    <w:p w:rsidR="001625FB" w:rsidRDefault="006366EA">
      <w:pPr>
        <w:pStyle w:val="Standard"/>
      </w:pPr>
      <w:r>
        <w:t xml:space="preserve">- La rue </w:t>
      </w:r>
      <w:proofErr w:type="spellStart"/>
      <w:r>
        <w:t>Froidheid</w:t>
      </w:r>
      <w:proofErr w:type="spellEnd"/>
      <w:r>
        <w:t xml:space="preserve"> sera mise en sens unique, de la rue Fosses Berger vers la RN 604. Pose d’un signal F19 à l’entrée de la rue, côté Fosses Berger. Au même endroit, pose d’un signal C43 limitant la vitesse à 30 </w:t>
      </w:r>
      <w:proofErr w:type="spellStart"/>
      <w:r>
        <w:t>km/H</w:t>
      </w:r>
      <w:proofErr w:type="spellEnd"/>
      <w:r>
        <w:t>.</w:t>
      </w:r>
    </w:p>
    <w:p w:rsidR="001625FB" w:rsidRDefault="006366EA">
      <w:pPr>
        <w:pStyle w:val="Standard"/>
      </w:pPr>
      <w:r>
        <w:t xml:space="preserve">Le </w:t>
      </w:r>
      <w:r>
        <w:t xml:space="preserve">PMA des véhicules pouvant emprunter cette rue sera limité à 3,5 T. Pose d’un signal C21 avec mention 3,5 T. Pose d’un signal C31a et b avec additionnel « +3,5T » rue Fosses Berger, de part et d’autre de la rue </w:t>
      </w:r>
      <w:proofErr w:type="spellStart"/>
      <w:r>
        <w:t>Froidheid</w:t>
      </w:r>
      <w:proofErr w:type="spellEnd"/>
      <w:r>
        <w:t>, pour annoncer l’interdiction d’accè</w:t>
      </w:r>
      <w:r>
        <w:t>s à cette rue pour les plus de 3,5 T.</w:t>
      </w:r>
    </w:p>
    <w:p w:rsidR="001625FB" w:rsidRDefault="006366EA">
      <w:pPr>
        <w:pStyle w:val="Standard"/>
      </w:pPr>
      <w:r>
        <w:t>Une barrière sur laquelle une flèche de déviation mentionnant « Verviers-</w:t>
      </w:r>
      <w:proofErr w:type="spellStart"/>
      <w:r>
        <w:t>Banneux</w:t>
      </w:r>
      <w:proofErr w:type="spellEnd"/>
      <w:r>
        <w:t xml:space="preserve">» sera installée à l’entrée de la rue </w:t>
      </w:r>
      <w:proofErr w:type="spellStart"/>
      <w:r>
        <w:t>Froidheid</w:t>
      </w:r>
      <w:proofErr w:type="spellEnd"/>
      <w:r>
        <w:t xml:space="preserve">, pour les usagers venant du rond-point de Fosses Berger. Avant </w:t>
      </w:r>
      <w:proofErr w:type="spellStart"/>
      <w:r>
        <w:t>le-dit</w:t>
      </w:r>
      <w:proofErr w:type="spellEnd"/>
      <w:r>
        <w:t xml:space="preserve"> rond-point, un panne</w:t>
      </w:r>
      <w:r>
        <w:t xml:space="preserve">au élaboré par l’organisateur, informera les usagers de la déviation conseillée via </w:t>
      </w:r>
      <w:proofErr w:type="spellStart"/>
      <w:r>
        <w:t>Froidheid</w:t>
      </w:r>
      <w:proofErr w:type="spellEnd"/>
      <w:r>
        <w:t xml:space="preserve"> ou via Forêt pour les plus de 3,5 T.</w:t>
      </w:r>
    </w:p>
    <w:p w:rsidR="001625FB" w:rsidRDefault="006366EA">
      <w:pPr>
        <w:pStyle w:val="Standard"/>
      </w:pPr>
      <w:r>
        <w:t xml:space="preserve">- Au bas de la rue </w:t>
      </w:r>
      <w:proofErr w:type="spellStart"/>
      <w:r>
        <w:t>Froidheid</w:t>
      </w:r>
      <w:proofErr w:type="spellEnd"/>
      <w:r>
        <w:t>, pose d’un signal C1 interdisant la montée de celle-ci. Sur la RN 604, de part et d’autre du car</w:t>
      </w:r>
      <w:r>
        <w:t xml:space="preserve">refour </w:t>
      </w:r>
      <w:proofErr w:type="spellStart"/>
      <w:r>
        <w:t>Froidheid</w:t>
      </w:r>
      <w:proofErr w:type="spellEnd"/>
      <w:r>
        <w:t>, pose des signaux C31 a et b pour annoncer cette interdiction.</w:t>
      </w:r>
    </w:p>
    <w:p w:rsidR="001625FB" w:rsidRDefault="006366EA">
      <w:pPr>
        <w:pStyle w:val="Standard"/>
      </w:pPr>
      <w:r>
        <w:t xml:space="preserve">- La RN 604 sera fermée dans le sens NESSONVAUX-OLNE, au-delà du carrefour Fosses Berger. Pose d’un signal C3 + « excepté circulation locale » + P </w:t>
      </w:r>
      <w:proofErr w:type="spellStart"/>
      <w:r>
        <w:t>Olne</w:t>
      </w:r>
      <w:proofErr w:type="spellEnd"/>
      <w:r>
        <w:t xml:space="preserve"> Autrefois (vers parking </w:t>
      </w:r>
      <w:proofErr w:type="spellStart"/>
      <w:r>
        <w:t>Falise</w:t>
      </w:r>
      <w:proofErr w:type="spellEnd"/>
      <w:r>
        <w:t>) + déviation « toutes directions » vers Saint-</w:t>
      </w:r>
      <w:proofErr w:type="spellStart"/>
      <w:r>
        <w:t>Hadelin</w:t>
      </w:r>
      <w:proofErr w:type="spellEnd"/>
      <w:r>
        <w:t>.</w:t>
      </w:r>
    </w:p>
    <w:p w:rsidR="001625FB" w:rsidRDefault="006366EA">
      <w:pPr>
        <w:pStyle w:val="Standard"/>
      </w:pPr>
      <w:r>
        <w:t xml:space="preserve">- Pose d’une barrière sur la RN 604 avec signal C3, après le carrefour avec rue </w:t>
      </w:r>
      <w:proofErr w:type="spellStart"/>
      <w:r>
        <w:t>Falise</w:t>
      </w:r>
      <w:proofErr w:type="spellEnd"/>
      <w:r>
        <w:t xml:space="preserve">, pour interdire complètement l’accès au village. Ajout d’un fléchage orientant les véhicules vers la rue </w:t>
      </w:r>
      <w:proofErr w:type="spellStart"/>
      <w:r>
        <w:t>Fa</w:t>
      </w:r>
      <w:r>
        <w:t>lise</w:t>
      </w:r>
      <w:proofErr w:type="spellEnd"/>
      <w:r>
        <w:t xml:space="preserve"> pour rejoindre le parking.</w:t>
      </w:r>
    </w:p>
    <w:p w:rsidR="001625FB" w:rsidRDefault="006366EA">
      <w:pPr>
        <w:pStyle w:val="Standard"/>
      </w:pPr>
      <w:r>
        <w:t xml:space="preserve">- Rue </w:t>
      </w:r>
      <w:proofErr w:type="spellStart"/>
      <w:r>
        <w:t>Falise</w:t>
      </w:r>
      <w:proofErr w:type="spellEnd"/>
      <w:r>
        <w:t xml:space="preserve">, pose d’une barrière avec signal C3, au carrefour avec la ruelle du Chantoir, interdisant totalement l’accès tant ruelle du chantoir que vers le fond de la rue </w:t>
      </w:r>
      <w:proofErr w:type="spellStart"/>
      <w:r>
        <w:t>Falise</w:t>
      </w:r>
      <w:proofErr w:type="spellEnd"/>
      <w:r>
        <w:t xml:space="preserve">. Placement du fléchage « parking </w:t>
      </w:r>
      <w:r>
        <w:lastRenderedPageBreak/>
        <w:t>» en direct</w:t>
      </w:r>
      <w:r>
        <w:t xml:space="preserve">ion de </w:t>
      </w:r>
      <w:proofErr w:type="spellStart"/>
      <w:r>
        <w:t>Herdavoie</w:t>
      </w:r>
      <w:proofErr w:type="spellEnd"/>
      <w:r>
        <w:t>.</w:t>
      </w:r>
    </w:p>
    <w:p w:rsidR="001625FB" w:rsidRDefault="006366EA">
      <w:pPr>
        <w:pStyle w:val="Standard"/>
      </w:pPr>
      <w:r>
        <w:t>Le dimanche 30 juin 2019 de 7 heures à 22 heures, le stationnement sera interdit Ruelle du Chantoir, tant dans le parking en paliers que sur le parking au bas de la rue. Le stationnement sera réservé aux organisateurs à cet endroit et deu</w:t>
      </w:r>
      <w:r>
        <w:t>x emplacements seront réservés à la police.</w:t>
      </w:r>
    </w:p>
    <w:p w:rsidR="001625FB" w:rsidRDefault="006366EA">
      <w:pPr>
        <w:pStyle w:val="Standard"/>
      </w:pPr>
      <w:r>
        <w:t xml:space="preserve">- Le stationnement sera interdit rue </w:t>
      </w:r>
      <w:proofErr w:type="spellStart"/>
      <w:r>
        <w:t>Falise</w:t>
      </w:r>
      <w:proofErr w:type="spellEnd"/>
      <w:r>
        <w:t xml:space="preserve">, entre la RN 604 et la rue </w:t>
      </w:r>
      <w:proofErr w:type="spellStart"/>
      <w:r>
        <w:t>Herdavoie</w:t>
      </w:r>
      <w:proofErr w:type="spellEnd"/>
      <w:r>
        <w:t>, hors des emplacements autorisés.</w:t>
      </w:r>
    </w:p>
    <w:p w:rsidR="001625FB" w:rsidRDefault="006366EA">
      <w:pPr>
        <w:pStyle w:val="Standard"/>
      </w:pPr>
      <w:r>
        <w:t xml:space="preserve">- Le stationnement sera interdit de part et d’autre de la rue </w:t>
      </w:r>
      <w:proofErr w:type="spellStart"/>
      <w:r>
        <w:t>Herdavoie</w:t>
      </w:r>
      <w:proofErr w:type="spellEnd"/>
      <w:r>
        <w:t xml:space="preserve">, entre la rue </w:t>
      </w:r>
      <w:proofErr w:type="spellStart"/>
      <w:r>
        <w:t>Falise</w:t>
      </w:r>
      <w:proofErr w:type="spellEnd"/>
      <w:r>
        <w:t xml:space="preserve"> et l</w:t>
      </w:r>
      <w:r>
        <w:t>’accès au parking.</w:t>
      </w:r>
    </w:p>
    <w:p w:rsidR="001625FB" w:rsidRDefault="006366EA">
      <w:pPr>
        <w:pStyle w:val="Standard"/>
      </w:pPr>
      <w:r>
        <w:t>- Rue Fosses Berger, le stationnement sera interdit en dehors des endroits prévus.</w:t>
      </w:r>
    </w:p>
    <w:p w:rsidR="001625FB" w:rsidRDefault="006366EA">
      <w:pPr>
        <w:pStyle w:val="Standard"/>
      </w:pPr>
      <w:r>
        <w:t xml:space="preserve">- Au rond-point entre la rue Fosses Berger et la route de la Croix Renard, des signaux F41 (déviation) canaliseront le trafic de transit venant de Forêt, </w:t>
      </w:r>
      <w:r>
        <w:t>vers Saint-</w:t>
      </w:r>
      <w:proofErr w:type="spellStart"/>
      <w:r>
        <w:t>Hadelin</w:t>
      </w:r>
      <w:proofErr w:type="spellEnd"/>
      <w:r>
        <w:t xml:space="preserve">. Pour les usagers ayant emprunté la déviation au départ du </w:t>
      </w:r>
      <w:proofErr w:type="spellStart"/>
      <w:r>
        <w:t>Rafhay</w:t>
      </w:r>
      <w:proofErr w:type="spellEnd"/>
      <w:r>
        <w:t xml:space="preserve">, un signal F41 les orientera vers Fosses Berger et </w:t>
      </w:r>
      <w:proofErr w:type="spellStart"/>
      <w:r>
        <w:t>Froidheid</w:t>
      </w:r>
      <w:proofErr w:type="spellEnd"/>
      <w:r>
        <w:t xml:space="preserve"> pour ainsi rejoindre la RN 604 en direction de </w:t>
      </w:r>
      <w:proofErr w:type="spellStart"/>
      <w:r>
        <w:t>Nessonvaux</w:t>
      </w:r>
      <w:proofErr w:type="spellEnd"/>
      <w:r>
        <w:t>.</w:t>
      </w:r>
    </w:p>
    <w:p w:rsidR="001625FB" w:rsidRDefault="006366EA">
      <w:pPr>
        <w:pStyle w:val="Standard"/>
      </w:pPr>
      <w:r>
        <w:t xml:space="preserve">- Au carrefour </w:t>
      </w:r>
      <w:proofErr w:type="spellStart"/>
      <w:r>
        <w:t>Rafhay</w:t>
      </w:r>
      <w:proofErr w:type="spellEnd"/>
      <w:r>
        <w:t xml:space="preserve">-Saint </w:t>
      </w:r>
      <w:proofErr w:type="spellStart"/>
      <w:r>
        <w:t>Hadelin</w:t>
      </w:r>
      <w:proofErr w:type="spellEnd"/>
      <w:r>
        <w:t>, des signaux F4</w:t>
      </w:r>
      <w:r>
        <w:t xml:space="preserve">1 renseigneront les déviations à suivre dans les deux sens suivis. Le trafic de transit venant de Fosses Berger sera invité à continuer vers AYENEUX par le placement d’une déviation « FLERON », au pied du </w:t>
      </w:r>
      <w:proofErr w:type="spellStart"/>
      <w:r>
        <w:t>Rafhay</w:t>
      </w:r>
      <w:proofErr w:type="spellEnd"/>
      <w:r>
        <w:t>.</w:t>
      </w:r>
    </w:p>
    <w:p w:rsidR="001625FB" w:rsidRDefault="006366EA">
      <w:pPr>
        <w:pStyle w:val="Standard"/>
      </w:pPr>
      <w:r>
        <w:t xml:space="preserve">- L’accès aux rues </w:t>
      </w:r>
      <w:proofErr w:type="spellStart"/>
      <w:r>
        <w:t>Martinmont</w:t>
      </w:r>
      <w:proofErr w:type="spellEnd"/>
      <w:r>
        <w:t xml:space="preserve">, </w:t>
      </w:r>
      <w:proofErr w:type="spellStart"/>
      <w:r>
        <w:t>Herdavoie</w:t>
      </w:r>
      <w:proofErr w:type="spellEnd"/>
      <w:r>
        <w:t xml:space="preserve">, </w:t>
      </w:r>
      <w:r>
        <w:t xml:space="preserve">Pré des Paul sera interdit aux véhicules venant du </w:t>
      </w:r>
      <w:proofErr w:type="spellStart"/>
      <w:r>
        <w:t>Rafhay</w:t>
      </w:r>
      <w:proofErr w:type="spellEnd"/>
      <w:r>
        <w:t xml:space="preserve">, à l’exception de la circulation locale. Pose du signal C3 + « excepté circulation locale » à l’entrée des rues précitées, à leur jonction avec le </w:t>
      </w:r>
      <w:proofErr w:type="spellStart"/>
      <w:r>
        <w:t>Rafhay</w:t>
      </w:r>
      <w:proofErr w:type="spellEnd"/>
      <w:r>
        <w:t xml:space="preserve">. Pose des signaux C31 a et b sur la rue </w:t>
      </w:r>
      <w:proofErr w:type="spellStart"/>
      <w:r>
        <w:t>Rafh</w:t>
      </w:r>
      <w:r>
        <w:t>ay</w:t>
      </w:r>
      <w:proofErr w:type="spellEnd"/>
      <w:r>
        <w:t>, de part et d’autre de chacune des rues précitées, pour avertir les usagers de cette interdiction.</w:t>
      </w:r>
    </w:p>
    <w:p w:rsidR="001625FB" w:rsidRDefault="006366EA">
      <w:pPr>
        <w:pStyle w:val="Standard"/>
      </w:pPr>
      <w:r>
        <w:t> </w:t>
      </w:r>
    </w:p>
    <w:p w:rsidR="001625FB" w:rsidRDefault="006366EA">
      <w:pPr>
        <w:pStyle w:val="Standard"/>
      </w:pPr>
      <w:r>
        <w:t>La signalisation et les déviations seront mises en place par l’organisateur de l’événement.</w:t>
      </w:r>
    </w:p>
    <w:p w:rsidR="001625FB" w:rsidRDefault="006366EA">
      <w:pPr>
        <w:pStyle w:val="Standard"/>
      </w:pPr>
      <w:r>
        <w:t> </w:t>
      </w:r>
    </w:p>
    <w:p w:rsidR="001625FB" w:rsidRDefault="006366EA">
      <w:pPr>
        <w:pStyle w:val="Standard"/>
      </w:pPr>
      <w:r>
        <w:rPr>
          <w:rStyle w:val="CS1"/>
        </w:rPr>
        <w:t>Art 3</w:t>
      </w:r>
      <w:r>
        <w:t>: Trois emplacements PMR seront créés de manière temp</w:t>
      </w:r>
      <w:r>
        <w:t>oraire du samedi 29 juin 2019 au dimanche 30 juin 2019 dans le parking de l'école communale d'</w:t>
      </w:r>
      <w:proofErr w:type="spellStart"/>
      <w:r>
        <w:t>Olne</w:t>
      </w:r>
      <w:proofErr w:type="spellEnd"/>
      <w:r>
        <w:t>. Ces emplacements seront matérialisés par les organisateurs.</w:t>
      </w:r>
    </w:p>
    <w:p w:rsidR="001625FB" w:rsidRDefault="006366EA">
      <w:pPr>
        <w:pStyle w:val="Standard"/>
      </w:pPr>
      <w:r>
        <w:t> </w:t>
      </w:r>
    </w:p>
    <w:p w:rsidR="001625FB" w:rsidRDefault="006366EA">
      <w:pPr>
        <w:pStyle w:val="Standard"/>
      </w:pPr>
      <w:r>
        <w:rPr>
          <w:rStyle w:val="CS1"/>
        </w:rPr>
        <w:t xml:space="preserve">Art.4 </w:t>
      </w:r>
      <w:r>
        <w:t>: Par dérogation aux articles 1 à 3, le présent arrêté ne sera d’application que lorsque</w:t>
      </w:r>
      <w:r>
        <w:t xml:space="preserve"> la signalisation ad hoc sera mise en place pour en avertir les usagers de la route.</w:t>
      </w:r>
    </w:p>
    <w:p w:rsidR="001625FB" w:rsidRDefault="006366EA">
      <w:pPr>
        <w:pStyle w:val="Standard"/>
      </w:pPr>
      <w:r>
        <w:t> </w:t>
      </w:r>
    </w:p>
    <w:p w:rsidR="001625FB" w:rsidRDefault="006366EA">
      <w:pPr>
        <w:pStyle w:val="Standard"/>
      </w:pPr>
      <w:r>
        <w:rPr>
          <w:rStyle w:val="CS1"/>
        </w:rPr>
        <w:t>Art 5</w:t>
      </w:r>
      <w:r>
        <w:t>: Les contrevenants seront poursuivis et punis des peines de simple police.</w:t>
      </w:r>
    </w:p>
    <w:p w:rsidR="001625FB" w:rsidRDefault="006366EA">
      <w:pPr>
        <w:pStyle w:val="Standard"/>
      </w:pPr>
      <w:r>
        <w:t> </w:t>
      </w:r>
    </w:p>
    <w:p w:rsidR="001625FB" w:rsidRDefault="006366EA">
      <w:pPr>
        <w:pStyle w:val="Standard"/>
      </w:pPr>
      <w:r>
        <w:rPr>
          <w:rStyle w:val="CS1"/>
        </w:rPr>
        <w:t>Art 6</w:t>
      </w:r>
      <w:r>
        <w:t>: Le présent règlement sera transmis pour information:</w:t>
      </w:r>
    </w:p>
    <w:p w:rsidR="001625FB" w:rsidRDefault="006366EA">
      <w:pPr>
        <w:pStyle w:val="Standard"/>
      </w:pPr>
      <w:r>
        <w:t>-aux Greffes des Tribunaux</w:t>
      </w:r>
      <w:r>
        <w:t xml:space="preserve"> de 1ère Instance et de Justice de Paix de et à Verviers</w:t>
      </w:r>
    </w:p>
    <w:p w:rsidR="001625FB" w:rsidRDefault="006366EA">
      <w:pPr>
        <w:pStyle w:val="Standard"/>
      </w:pPr>
      <w:r>
        <w:t>- à la Zone de Secours VHP</w:t>
      </w:r>
    </w:p>
    <w:p w:rsidR="001625FB" w:rsidRDefault="006366EA">
      <w:pPr>
        <w:pStyle w:val="Standard"/>
      </w:pPr>
      <w:r>
        <w:t>- à la Zone de Police du Pays de Herve</w:t>
      </w:r>
    </w:p>
    <w:p w:rsidR="001625FB" w:rsidRDefault="006366EA">
      <w:pPr>
        <w:pStyle w:val="Standard"/>
      </w:pPr>
      <w:r>
        <w:t>- au Comité organisateur</w:t>
      </w:r>
    </w:p>
    <w:p w:rsidR="001625FB" w:rsidRDefault="006366EA">
      <w:pPr>
        <w:pStyle w:val="Standard"/>
      </w:pPr>
      <w:r>
        <w:t>- au TEC</w:t>
      </w:r>
    </w:p>
    <w:p w:rsidR="001625FB" w:rsidRDefault="001625FB">
      <w:pPr>
        <w:pStyle w:val="Standard"/>
        <w:jc w:val="both"/>
        <w:rPr>
          <w:rFonts w:cs="Times New Roman"/>
        </w:rPr>
      </w:pPr>
    </w:p>
    <w:tbl>
      <w:tblPr>
        <w:tblW w:w="9077" w:type="dxa"/>
        <w:tblLayout w:type="fixed"/>
        <w:tblCellMar>
          <w:left w:w="10" w:type="dxa"/>
          <w:right w:w="10" w:type="dxa"/>
        </w:tblCellMar>
        <w:tblLook w:val="04A0" w:firstRow="1" w:lastRow="0" w:firstColumn="1" w:lastColumn="0" w:noHBand="0" w:noVBand="1"/>
      </w:tblPr>
      <w:tblGrid>
        <w:gridCol w:w="6230"/>
        <w:gridCol w:w="2847"/>
      </w:tblGrid>
      <w:tr w:rsidR="001625FB">
        <w:tblPrEx>
          <w:tblCellMar>
            <w:top w:w="0" w:type="dxa"/>
            <w:bottom w:w="0" w:type="dxa"/>
          </w:tblCellMar>
        </w:tblPrEx>
        <w:tc>
          <w:tcPr>
            <w:tcW w:w="9077" w:type="dxa"/>
            <w:gridSpan w:val="2"/>
            <w:tcMar>
              <w:top w:w="0" w:type="dxa"/>
              <w:left w:w="0" w:type="dxa"/>
              <w:bottom w:w="0" w:type="dxa"/>
              <w:right w:w="0" w:type="dxa"/>
            </w:tcMar>
          </w:tcPr>
          <w:p w:rsidR="001625FB" w:rsidRDefault="006366EA">
            <w:pPr>
              <w:pStyle w:val="Standard"/>
              <w:ind w:left="709"/>
              <w:jc w:val="center"/>
              <w:rPr>
                <w:sz w:val="24"/>
              </w:rPr>
            </w:pPr>
            <w:r>
              <w:rPr>
                <w:sz w:val="24"/>
              </w:rPr>
              <w:t>Par le Collège,</w:t>
            </w:r>
          </w:p>
        </w:tc>
      </w:tr>
      <w:tr w:rsidR="001625FB">
        <w:tblPrEx>
          <w:tblCellMar>
            <w:top w:w="0" w:type="dxa"/>
            <w:bottom w:w="0" w:type="dxa"/>
          </w:tblCellMar>
        </w:tblPrEx>
        <w:tc>
          <w:tcPr>
            <w:tcW w:w="6230" w:type="dxa"/>
            <w:tcMar>
              <w:top w:w="0" w:type="dxa"/>
              <w:left w:w="0" w:type="dxa"/>
              <w:bottom w:w="0" w:type="dxa"/>
              <w:right w:w="0" w:type="dxa"/>
            </w:tcMar>
          </w:tcPr>
          <w:p w:rsidR="001625FB" w:rsidRDefault="006366EA">
            <w:pPr>
              <w:pStyle w:val="TableContents"/>
              <w:ind w:left="709"/>
              <w:jc w:val="both"/>
            </w:pPr>
            <w:r>
              <w:t>Le Directeur général,</w:t>
            </w:r>
          </w:p>
        </w:tc>
        <w:tc>
          <w:tcPr>
            <w:tcW w:w="2847" w:type="dxa"/>
            <w:tcMar>
              <w:top w:w="0" w:type="dxa"/>
              <w:left w:w="0" w:type="dxa"/>
              <w:bottom w:w="0" w:type="dxa"/>
              <w:right w:w="0" w:type="dxa"/>
            </w:tcMar>
          </w:tcPr>
          <w:p w:rsidR="001625FB" w:rsidRDefault="006366EA">
            <w:pPr>
              <w:pStyle w:val="TableContents"/>
              <w:jc w:val="both"/>
            </w:pPr>
            <w:r>
              <w:t>Le Président,</w:t>
            </w:r>
          </w:p>
        </w:tc>
      </w:tr>
      <w:tr w:rsidR="001625FB">
        <w:tblPrEx>
          <w:tblCellMar>
            <w:top w:w="0" w:type="dxa"/>
            <w:bottom w:w="0" w:type="dxa"/>
          </w:tblCellMar>
        </w:tblPrEx>
        <w:tc>
          <w:tcPr>
            <w:tcW w:w="6230" w:type="dxa"/>
            <w:tcMar>
              <w:top w:w="0" w:type="dxa"/>
              <w:left w:w="0" w:type="dxa"/>
              <w:bottom w:w="0" w:type="dxa"/>
              <w:right w:w="0" w:type="dxa"/>
            </w:tcMar>
          </w:tcPr>
          <w:p w:rsidR="001625FB" w:rsidRDefault="006366EA">
            <w:pPr>
              <w:pStyle w:val="TableContents"/>
              <w:ind w:left="709"/>
              <w:jc w:val="both"/>
            </w:pPr>
            <w:r>
              <w:t>JP EMBRECHTS</w:t>
            </w:r>
          </w:p>
        </w:tc>
        <w:tc>
          <w:tcPr>
            <w:tcW w:w="2847" w:type="dxa"/>
            <w:tcMar>
              <w:top w:w="0" w:type="dxa"/>
              <w:left w:w="0" w:type="dxa"/>
              <w:bottom w:w="0" w:type="dxa"/>
              <w:right w:w="0" w:type="dxa"/>
            </w:tcMar>
          </w:tcPr>
          <w:p w:rsidR="001625FB" w:rsidRDefault="006366EA">
            <w:pPr>
              <w:pStyle w:val="TableContents"/>
              <w:jc w:val="both"/>
            </w:pPr>
            <w:r>
              <w:t>C. HALIN</w:t>
            </w:r>
          </w:p>
        </w:tc>
      </w:tr>
      <w:tr w:rsidR="001625FB">
        <w:tblPrEx>
          <w:tblCellMar>
            <w:top w:w="0" w:type="dxa"/>
            <w:bottom w:w="0" w:type="dxa"/>
          </w:tblCellMar>
        </w:tblPrEx>
        <w:tc>
          <w:tcPr>
            <w:tcW w:w="9077" w:type="dxa"/>
            <w:gridSpan w:val="2"/>
            <w:tcMar>
              <w:top w:w="0" w:type="dxa"/>
              <w:left w:w="0" w:type="dxa"/>
              <w:bottom w:w="0" w:type="dxa"/>
              <w:right w:w="0" w:type="dxa"/>
            </w:tcMar>
          </w:tcPr>
          <w:p w:rsidR="001625FB" w:rsidRDefault="001625FB">
            <w:pPr>
              <w:pStyle w:val="Paragraphedeliste"/>
              <w:ind w:left="709"/>
              <w:jc w:val="center"/>
              <w:rPr>
                <w:rFonts w:ascii="Varela Round" w:hAnsi="Varela Round"/>
              </w:rPr>
            </w:pPr>
          </w:p>
        </w:tc>
      </w:tr>
      <w:tr w:rsidR="001625FB">
        <w:tblPrEx>
          <w:tblCellMar>
            <w:top w:w="0" w:type="dxa"/>
            <w:bottom w:w="0" w:type="dxa"/>
          </w:tblCellMar>
        </w:tblPrEx>
        <w:tc>
          <w:tcPr>
            <w:tcW w:w="9077" w:type="dxa"/>
            <w:gridSpan w:val="2"/>
            <w:tcMar>
              <w:top w:w="0" w:type="dxa"/>
              <w:left w:w="0" w:type="dxa"/>
              <w:bottom w:w="0" w:type="dxa"/>
              <w:right w:w="0" w:type="dxa"/>
            </w:tcMar>
          </w:tcPr>
          <w:p w:rsidR="001625FB" w:rsidRDefault="006366EA">
            <w:pPr>
              <w:pStyle w:val="Paragraphedeliste"/>
              <w:ind w:left="709"/>
              <w:jc w:val="center"/>
              <w:rPr>
                <w:rFonts w:ascii="Varela Round" w:hAnsi="Varela Round"/>
                <w:sz w:val="22"/>
                <w:szCs w:val="22"/>
              </w:rPr>
            </w:pPr>
            <w:r>
              <w:rPr>
                <w:rFonts w:ascii="Varela Round" w:hAnsi="Varela Round"/>
                <w:sz w:val="22"/>
                <w:szCs w:val="22"/>
              </w:rPr>
              <w:t xml:space="preserve">Pour extrait </w:t>
            </w:r>
            <w:r>
              <w:rPr>
                <w:rFonts w:ascii="Varela Round" w:hAnsi="Varela Round"/>
                <w:sz w:val="22"/>
                <w:szCs w:val="22"/>
              </w:rPr>
              <w:t>conforme,</w:t>
            </w:r>
          </w:p>
        </w:tc>
      </w:tr>
      <w:tr w:rsidR="001625FB">
        <w:tblPrEx>
          <w:tblCellMar>
            <w:top w:w="0" w:type="dxa"/>
            <w:bottom w:w="0" w:type="dxa"/>
          </w:tblCellMar>
        </w:tblPrEx>
        <w:tc>
          <w:tcPr>
            <w:tcW w:w="6230" w:type="dxa"/>
            <w:tcMar>
              <w:top w:w="0" w:type="dxa"/>
              <w:left w:w="0" w:type="dxa"/>
              <w:bottom w:w="0" w:type="dxa"/>
              <w:right w:w="0" w:type="dxa"/>
            </w:tcMar>
          </w:tcPr>
          <w:p w:rsidR="001625FB" w:rsidRDefault="006366EA">
            <w:pPr>
              <w:pStyle w:val="TableContents"/>
              <w:ind w:left="709"/>
              <w:jc w:val="both"/>
            </w:pPr>
            <w:r>
              <w:t xml:space="preserve">La Directrice générale </w:t>
            </w:r>
            <w:proofErr w:type="spellStart"/>
            <w:r>
              <w:t>f.f</w:t>
            </w:r>
            <w:proofErr w:type="spellEnd"/>
            <w:r>
              <w:t>.</w:t>
            </w:r>
          </w:p>
        </w:tc>
        <w:tc>
          <w:tcPr>
            <w:tcW w:w="2847" w:type="dxa"/>
            <w:tcMar>
              <w:top w:w="0" w:type="dxa"/>
              <w:left w:w="0" w:type="dxa"/>
              <w:bottom w:w="0" w:type="dxa"/>
              <w:right w:w="0" w:type="dxa"/>
            </w:tcMar>
          </w:tcPr>
          <w:p w:rsidR="001625FB" w:rsidRDefault="006366EA">
            <w:pPr>
              <w:pStyle w:val="TableContents"/>
              <w:jc w:val="both"/>
            </w:pPr>
            <w:r>
              <w:t>Le Bourgmestre,</w:t>
            </w:r>
          </w:p>
        </w:tc>
      </w:tr>
      <w:tr w:rsidR="001625FB">
        <w:tblPrEx>
          <w:tblCellMar>
            <w:top w:w="0" w:type="dxa"/>
            <w:bottom w:w="0" w:type="dxa"/>
          </w:tblCellMar>
        </w:tblPrEx>
        <w:tc>
          <w:tcPr>
            <w:tcW w:w="6230" w:type="dxa"/>
            <w:tcMar>
              <w:top w:w="0" w:type="dxa"/>
              <w:left w:w="0" w:type="dxa"/>
              <w:bottom w:w="0" w:type="dxa"/>
              <w:right w:w="0" w:type="dxa"/>
            </w:tcMar>
          </w:tcPr>
          <w:p w:rsidR="001625FB" w:rsidRDefault="006366EA">
            <w:pPr>
              <w:pStyle w:val="TableContents"/>
              <w:ind w:left="709"/>
              <w:jc w:val="both"/>
            </w:pPr>
            <w:r>
              <w:t>V. BLAISE</w:t>
            </w:r>
          </w:p>
        </w:tc>
        <w:tc>
          <w:tcPr>
            <w:tcW w:w="2847" w:type="dxa"/>
            <w:tcMar>
              <w:top w:w="0" w:type="dxa"/>
              <w:left w:w="0" w:type="dxa"/>
              <w:bottom w:w="0" w:type="dxa"/>
              <w:right w:w="0" w:type="dxa"/>
            </w:tcMar>
          </w:tcPr>
          <w:p w:rsidR="001625FB" w:rsidRDefault="006366EA">
            <w:pPr>
              <w:pStyle w:val="TableContents"/>
              <w:jc w:val="both"/>
            </w:pPr>
            <w:r>
              <w:t>C. HALIN</w:t>
            </w:r>
          </w:p>
        </w:tc>
      </w:tr>
    </w:tbl>
    <w:p w:rsidR="001625FB" w:rsidRDefault="001625FB">
      <w:pPr>
        <w:pStyle w:val="Standard"/>
        <w:jc w:val="both"/>
        <w:rPr>
          <w:rFonts w:cs="Times New Roman"/>
          <w:sz w:val="4"/>
          <w:szCs w:val="4"/>
        </w:rPr>
      </w:pPr>
    </w:p>
    <w:sectPr w:rsidR="001625FB">
      <w:type w:val="continuous"/>
      <w:pgSz w:w="11906" w:h="16838"/>
      <w:pgMar w:top="709" w:right="1417" w:bottom="709" w:left="141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366EA">
      <w:r>
        <w:separator/>
      </w:r>
    </w:p>
  </w:endnote>
  <w:endnote w:type="continuationSeparator" w:id="0">
    <w:p w:rsidR="00000000" w:rsidRDefault="00636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tarSymbol">
    <w:charset w:val="00"/>
    <w:family w:val="auto"/>
    <w:pitch w:val="default"/>
  </w:font>
  <w:font w:name="Liberation Serif">
    <w:altName w:val="Times New Roman"/>
    <w:charset w:val="00"/>
    <w:family w:val="roman"/>
    <w:pitch w:val="variable"/>
  </w:font>
  <w:font w:name="Droid Sans">
    <w:altName w:val="Times New Roman"/>
    <w:charset w:val="00"/>
    <w:family w:val="auto"/>
    <w:pitch w:val="variable"/>
  </w:font>
  <w:font w:name="Lohit Hindi">
    <w:altName w:val="Times New Roman"/>
    <w:charset w:val="00"/>
    <w:family w:val="auto"/>
    <w:pitch w:val="default"/>
  </w:font>
  <w:font w:name="Liberation Sans">
    <w:charset w:val="00"/>
    <w:family w:val="swiss"/>
    <w:pitch w:val="variable"/>
  </w:font>
  <w:font w:name="Times New Roman">
    <w:panose1 w:val="02020603050405020304"/>
    <w:charset w:val="00"/>
    <w:family w:val="roman"/>
    <w:pitch w:val="variable"/>
    <w:sig w:usb0="E0002AFF" w:usb1="C0007841" w:usb2="00000009" w:usb3="00000000" w:csb0="000001FF" w:csb1="00000000"/>
  </w:font>
  <w:font w:name="Varela Roun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366EA">
      <w:r>
        <w:rPr>
          <w:color w:val="000000"/>
        </w:rPr>
        <w:separator/>
      </w:r>
    </w:p>
  </w:footnote>
  <w:footnote w:type="continuationSeparator" w:id="0">
    <w:p w:rsidR="00000000" w:rsidRDefault="006366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80CE3"/>
    <w:multiLevelType w:val="multilevel"/>
    <w:tmpl w:val="378C82BA"/>
    <w:styleLink w:val="podNumberedList"/>
    <w:lvl w:ilvl="0">
      <w:start w:val="1"/>
      <w:numFmt w:val="decimal"/>
      <w:pStyle w:val="podNumberItemKeepWithNext"/>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3D1C2166"/>
    <w:multiLevelType w:val="multilevel"/>
    <w:tmpl w:val="0F582210"/>
    <w:styleLink w:val="podBulletedList"/>
    <w:lvl w:ilvl="0">
      <w:numFmt w:val="bullet"/>
      <w:pStyle w:val="podBulletItemKeepWithNext"/>
      <w:lvlText w:val="•"/>
      <w:lvlJc w:val="left"/>
      <w:pPr>
        <w:ind w:left="720" w:hanging="360"/>
      </w:pPr>
      <w:rPr>
        <w:rFonts w:ascii="StarSymbol" w:eastAsia="StarSymbol" w:hAnsi="StarSymbol" w:cs="StarSymbol"/>
        <w:sz w:val="18"/>
        <w:szCs w:val="18"/>
      </w:rPr>
    </w:lvl>
    <w:lvl w:ilvl="1">
      <w:numFmt w:val="bullet"/>
      <w:lvlText w:val="◦"/>
      <w:lvlJc w:val="left"/>
      <w:pPr>
        <w:ind w:left="1080" w:hanging="360"/>
      </w:pPr>
      <w:rPr>
        <w:rFonts w:ascii="StarSymbol" w:eastAsia="StarSymbol" w:hAnsi="StarSymbol" w:cs="StarSymbol"/>
        <w:sz w:val="18"/>
        <w:szCs w:val="18"/>
      </w:rPr>
    </w:lvl>
    <w:lvl w:ilvl="2">
      <w:numFmt w:val="bullet"/>
      <w:lvlText w:val="▪"/>
      <w:lvlJc w:val="left"/>
      <w:pPr>
        <w:ind w:left="1440" w:hanging="360"/>
      </w:pPr>
      <w:rPr>
        <w:rFonts w:ascii="StarSymbol" w:eastAsia="StarSymbol" w:hAnsi="StarSymbol" w:cs="StarSymbol"/>
        <w:sz w:val="18"/>
        <w:szCs w:val="18"/>
      </w:rPr>
    </w:lvl>
    <w:lvl w:ilvl="3">
      <w:numFmt w:val="bullet"/>
      <w:lvlText w:val="•"/>
      <w:lvlJc w:val="left"/>
      <w:pPr>
        <w:ind w:left="1800" w:hanging="360"/>
      </w:pPr>
      <w:rPr>
        <w:rFonts w:ascii="StarSymbol" w:eastAsia="StarSymbol" w:hAnsi="StarSymbol" w:cs="StarSymbol"/>
        <w:sz w:val="18"/>
        <w:szCs w:val="18"/>
      </w:r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1625FB"/>
    <w:rsid w:val="001625FB"/>
    <w:rsid w:val="006366E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6366EA"/>
    <w:rPr>
      <w:rFonts w:ascii="Tahoma" w:hAnsi="Tahoma" w:cs="Mangal"/>
      <w:sz w:val="16"/>
      <w:szCs w:val="14"/>
    </w:rPr>
  </w:style>
  <w:style w:type="character" w:customStyle="1" w:styleId="TextedebullesCar">
    <w:name w:val="Texte de bulles Car"/>
    <w:basedOn w:val="Policepardfaut"/>
    <w:link w:val="Textedebulles"/>
    <w:uiPriority w:val="99"/>
    <w:semiHidden/>
    <w:rsid w:val="006366EA"/>
    <w:rPr>
      <w:rFonts w:ascii="Tahoma" w:hAnsi="Tahoma" w:cs="Mangal"/>
      <w:sz w:val="16"/>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6366EA"/>
    <w:rPr>
      <w:rFonts w:ascii="Tahoma" w:hAnsi="Tahoma" w:cs="Mangal"/>
      <w:sz w:val="16"/>
      <w:szCs w:val="14"/>
    </w:rPr>
  </w:style>
  <w:style w:type="character" w:customStyle="1" w:styleId="TextedebullesCar">
    <w:name w:val="Texte de bulles Car"/>
    <w:basedOn w:val="Policepardfaut"/>
    <w:link w:val="Textedebulles"/>
    <w:uiPriority w:val="99"/>
    <w:semiHidden/>
    <w:rsid w:val="006366EA"/>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392</TotalTime>
  <Pages>3</Pages>
  <Words>1798</Words>
  <Characters>9889</Characters>
  <Application>Microsoft Office Word</Application>
  <DocSecurity>0</DocSecurity>
  <Lines>82</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André NUYENS</dc:creator>
  <cp:lastModifiedBy>Danielle Tops</cp:lastModifiedBy>
  <cp:revision>1</cp:revision>
  <dcterms:created xsi:type="dcterms:W3CDTF">2017-01-30T14:01:00Z</dcterms:created>
  <dcterms:modified xsi:type="dcterms:W3CDTF">2019-06-21T10:15:00Z</dcterms:modified>
</cp:coreProperties>
</file>